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FE" w:rsidRDefault="00FC44DA">
      <w:pPr>
        <w:pStyle w:val="Normale1"/>
        <w:jc w:val="right"/>
        <w:outlineLvl w:val="0"/>
        <w:rPr>
          <w:b/>
          <w:sz w:val="22"/>
        </w:rPr>
      </w:pPr>
      <w:r>
        <w:rPr>
          <w:b/>
          <w:sz w:val="22"/>
        </w:rPr>
        <w:tab/>
      </w:r>
    </w:p>
    <w:p w:rsidR="008D75FE" w:rsidRPr="00FC44DA" w:rsidRDefault="00FC44DA">
      <w:pPr>
        <w:pStyle w:val="Normale1"/>
        <w:jc w:val="right"/>
        <w:outlineLvl w:val="0"/>
        <w:rPr>
          <w:b/>
          <w:iCs/>
          <w:sz w:val="22"/>
          <w:szCs w:val="22"/>
          <w:u w:val="single"/>
        </w:rPr>
      </w:pPr>
      <w:r w:rsidRPr="00FC44DA">
        <w:rPr>
          <w:b/>
          <w:iCs/>
          <w:sz w:val="22"/>
          <w:szCs w:val="22"/>
          <w:u w:val="single"/>
        </w:rPr>
        <w:t>Allegato A2</w:t>
      </w:r>
    </w:p>
    <w:p w:rsidR="008D75FE" w:rsidRDefault="008D75FE" w:rsidP="00FC44DA">
      <w:pPr>
        <w:pStyle w:val="Normale1"/>
        <w:outlineLvl w:val="0"/>
        <w:rPr>
          <w:b/>
          <w:iCs/>
          <w:sz w:val="22"/>
          <w:szCs w:val="22"/>
        </w:rPr>
      </w:pPr>
    </w:p>
    <w:p w:rsidR="00FC44DA" w:rsidRPr="00FC44DA" w:rsidRDefault="00FC44DA" w:rsidP="00FC44DA">
      <w:pPr>
        <w:autoSpaceDE w:val="0"/>
        <w:autoSpaceDN w:val="0"/>
        <w:adjustRightInd w:val="0"/>
        <w:jc w:val="both"/>
        <w:rPr>
          <w:b/>
          <w:bCs/>
        </w:rPr>
      </w:pPr>
      <w:r w:rsidRPr="00FC44DA">
        <w:rPr>
          <w:b/>
          <w:bCs/>
        </w:rPr>
        <w:t xml:space="preserve">PROCEDURA TELEMATICA NEGOZIATA PER L’AFFIDAMENTO DEI LAVORI RELATIVI ALLA </w:t>
      </w:r>
      <w:r w:rsidRPr="00FC44DA">
        <w:rPr>
          <w:b/>
          <w:kern w:val="1"/>
          <w:lang w:eastAsia="zh-CN"/>
        </w:rPr>
        <w:t xml:space="preserve">REALIZZAZIONE DI UN EDIFICIO DESTINATO A CENTRO SOCIALE/ASSISTENZIALE, PREVIA DEMOLIZIONE DI EDIFICIO ESISTENTE, DA REALIZZARE IN COMUNE DI CORIANO, LOCALITÀ CERASOLO IN VIA BORGATA N. 53, DISTINTO AL NCEU AL FOGLIO 5 MAPPALE 74 - </w:t>
      </w:r>
      <w:r w:rsidRPr="00FC44DA">
        <w:rPr>
          <w:b/>
          <w:bCs/>
        </w:rPr>
        <w:t xml:space="preserve">FINANZIATO DALL’UNIONE EUROPEA NEXT GENERATION EU (PNRR) MISSIONE 5 COMPONENTE 2 INVESTIMENTO 1.2 </w:t>
      </w:r>
    </w:p>
    <w:p w:rsidR="00FC44DA" w:rsidRPr="00FC44DA" w:rsidRDefault="00FC44DA" w:rsidP="00FC44DA">
      <w:pPr>
        <w:tabs>
          <w:tab w:val="left" w:leader="dot" w:pos="5328"/>
        </w:tabs>
        <w:suppressAutoHyphens/>
        <w:ind w:right="-142"/>
        <w:jc w:val="both"/>
        <w:textAlignment w:val="baseline"/>
        <w:rPr>
          <w:b/>
          <w:bCs/>
          <w:color w:val="00000A"/>
          <w:lang w:eastAsia="zh-CN"/>
        </w:rPr>
      </w:pPr>
    </w:p>
    <w:p w:rsidR="00FC44DA" w:rsidRPr="00FC44DA" w:rsidRDefault="00FC44DA" w:rsidP="00FC44DA">
      <w:pPr>
        <w:tabs>
          <w:tab w:val="left" w:leader="dot" w:pos="5328"/>
        </w:tabs>
        <w:suppressAutoHyphens/>
        <w:ind w:right="-142"/>
        <w:jc w:val="both"/>
        <w:textAlignment w:val="baseline"/>
        <w:rPr>
          <w:b/>
          <w:color w:val="00000A"/>
          <w:sz w:val="24"/>
          <w:szCs w:val="24"/>
          <w:highlight w:val="green"/>
          <w:lang w:eastAsia="zh-CN"/>
        </w:rPr>
      </w:pPr>
      <w:r w:rsidRPr="00FC44DA">
        <w:rPr>
          <w:b/>
          <w:bCs/>
          <w:color w:val="00000A"/>
          <w:lang w:eastAsia="zh-CN"/>
        </w:rPr>
        <w:t xml:space="preserve">CUP </w:t>
      </w:r>
      <w:r w:rsidRPr="00FC44DA">
        <w:rPr>
          <w:b/>
          <w:color w:val="00000A"/>
          <w:lang w:eastAsia="zh-CN"/>
        </w:rPr>
        <w:t>E94H22000150006</w:t>
      </w:r>
      <w:r w:rsidRPr="00FC44DA">
        <w:rPr>
          <w:b/>
          <w:bCs/>
          <w:color w:val="00000A"/>
          <w:lang w:eastAsia="zh-CN"/>
        </w:rPr>
        <w:t xml:space="preserve">, CUI </w:t>
      </w:r>
      <w:r w:rsidRPr="00FC44DA">
        <w:rPr>
          <w:b/>
          <w:color w:val="00000A"/>
          <w:lang w:eastAsia="zh-CN"/>
        </w:rPr>
        <w:t>00616520409202400001</w:t>
      </w:r>
    </w:p>
    <w:p w:rsidR="008D75FE" w:rsidRDefault="008D75FE" w:rsidP="00FC44DA">
      <w:pPr>
        <w:pStyle w:val="Normale1"/>
        <w:widowControl w:val="0"/>
        <w:spacing w:before="120"/>
        <w:outlineLvl w:val="2"/>
        <w:rPr>
          <w:i/>
          <w:color w:val="1F497D"/>
          <w:u w:val="single"/>
        </w:rPr>
      </w:pPr>
      <w:bookmarkStart w:id="0" w:name="_GoBack"/>
      <w:bookmarkEnd w:id="0"/>
    </w:p>
    <w:p w:rsidR="008D75FE" w:rsidRDefault="00FC44DA">
      <w:pPr>
        <w:pStyle w:val="Normale1"/>
        <w:widowControl w:val="0"/>
        <w:spacing w:before="120"/>
        <w:jc w:val="center"/>
        <w:outlineLvl w:val="2"/>
        <w:rPr>
          <w:i/>
          <w:color w:val="1F497D"/>
          <w:u w:val="single"/>
        </w:rPr>
      </w:pPr>
      <w:r>
        <w:rPr>
          <w:i/>
          <w:color w:val="1F497D"/>
          <w:u w:val="single"/>
        </w:rPr>
        <w:t>Note per la compilazione</w:t>
      </w:r>
    </w:p>
    <w:p w:rsidR="008D75FE" w:rsidRDefault="00FC44DA">
      <w:pPr>
        <w:pStyle w:val="Normale1"/>
        <w:widowControl w:val="0"/>
        <w:spacing w:before="120"/>
        <w:jc w:val="both"/>
        <w:outlineLvl w:val="2"/>
        <w:rPr>
          <w:i/>
          <w:color w:val="1F497D"/>
          <w:u w:val="single"/>
        </w:rPr>
      </w:pPr>
      <w:r>
        <w:rPr>
          <w:i/>
          <w:color w:val="1F497D"/>
          <w:u w:val="single"/>
        </w:rPr>
        <w:t>Le presenti dichiarazioni, integrative rispetto al DGUE devono essere rese da tutti i soggetti che a qualunque titolo partecipano alla procedura in og</w:t>
      </w:r>
      <w:r>
        <w:rPr>
          <w:i/>
          <w:color w:val="1F497D"/>
          <w:u w:val="single"/>
        </w:rPr>
        <w:t>getto (concorrente, partecipante al raggruppamento temporaneo di imprese o consorzio ordinario, consorziato indicato per l'esecuzione, ausiliario, subappaltatore indicato ai fini qualificatori).</w:t>
      </w:r>
    </w:p>
    <w:p w:rsidR="008D75FE" w:rsidRDefault="008D75FE">
      <w:pPr>
        <w:pStyle w:val="Normale1"/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</w:rPr>
      </w:pPr>
    </w:p>
    <w:p w:rsidR="008D75FE" w:rsidRDefault="008D75FE">
      <w:pPr>
        <w:pStyle w:val="Normale1"/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sz w:val="22"/>
          <w:szCs w:val="22"/>
        </w:rPr>
      </w:pPr>
    </w:p>
    <w:tbl>
      <w:tblPr>
        <w:tblW w:w="0" w:type="auto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92"/>
        <w:gridCol w:w="658"/>
        <w:gridCol w:w="346"/>
        <w:gridCol w:w="3441"/>
        <w:gridCol w:w="156"/>
        <w:gridCol w:w="158"/>
        <w:gridCol w:w="166"/>
        <w:gridCol w:w="834"/>
        <w:gridCol w:w="263"/>
        <w:gridCol w:w="577"/>
        <w:gridCol w:w="169"/>
        <w:gridCol w:w="991"/>
        <w:gridCol w:w="671"/>
        <w:gridCol w:w="193"/>
      </w:tblGrid>
      <w:tr w:rsidR="008D75FE">
        <w:trPr>
          <w:trHeight w:val="251"/>
        </w:trPr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sottoscritto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 n.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51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 il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698" w:type="dxa"/>
            <w:gridSpan w:val="7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51"/>
        </w:trPr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qualità di</w:t>
            </w:r>
          </w:p>
        </w:tc>
        <w:tc>
          <w:tcPr>
            <w:tcW w:w="7965" w:type="dxa"/>
            <w:gridSpan w:val="1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51"/>
        </w:trPr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dell’impresa</w:t>
            </w:r>
          </w:p>
        </w:tc>
        <w:tc>
          <w:tcPr>
            <w:tcW w:w="7965" w:type="dxa"/>
            <w:gridSpan w:val="1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51"/>
        </w:trPr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in</w:t>
            </w:r>
          </w:p>
        </w:tc>
        <w:tc>
          <w:tcPr>
            <w:tcW w:w="7965" w:type="dxa"/>
            <w:gridSpan w:val="1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5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via</w:t>
            </w:r>
          </w:p>
        </w:tc>
        <w:tc>
          <w:tcPr>
            <w:tcW w:w="6114" w:type="dxa"/>
            <w:gridSpan w:val="9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Cap.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  <w:lang w:val="en-US"/>
              </w:rPr>
            </w:pPr>
          </w:p>
        </w:tc>
      </w:tr>
      <w:tr w:rsidR="008D75FE">
        <w:trPr>
          <w:trHeight w:val="25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Tel. n.</w:t>
            </w:r>
          </w:p>
        </w:tc>
        <w:tc>
          <w:tcPr>
            <w:tcW w:w="4693" w:type="dxa"/>
            <w:gridSpan w:val="5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  <w:lang w:val="en-US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 n.</w:t>
            </w:r>
          </w:p>
        </w:tc>
        <w:tc>
          <w:tcPr>
            <w:tcW w:w="2864" w:type="dxa"/>
            <w:gridSpan w:val="6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51"/>
        </w:trPr>
        <w:tc>
          <w:tcPr>
            <w:tcW w:w="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 n.</w:t>
            </w:r>
          </w:p>
        </w:tc>
        <w:tc>
          <w:tcPr>
            <w:tcW w:w="7619" w:type="dxa"/>
            <w:gridSpan w:val="11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51"/>
        </w:trPr>
        <w:tc>
          <w:tcPr>
            <w:tcW w:w="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619" w:type="dxa"/>
            <w:gridSpan w:val="11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75FE" w:rsidRDefault="008D75FE">
            <w:pPr>
              <w:pStyle w:val="Normale1"/>
              <w:rPr>
                <w:sz w:val="22"/>
                <w:szCs w:val="22"/>
              </w:rPr>
            </w:pPr>
          </w:p>
        </w:tc>
      </w:tr>
      <w:tr w:rsidR="008D75FE">
        <w:trPr>
          <w:trHeight w:val="283"/>
        </w:trPr>
        <w:tc>
          <w:tcPr>
            <w:tcW w:w="95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75FE" w:rsidRDefault="00FC44DA">
            <w:pPr>
              <w:pStyle w:val="Stile4"/>
              <w:tabs>
                <w:tab w:val="left" w:pos="-1985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indirizzo di posta elettronica certificata (PEC)</w:t>
            </w:r>
          </w:p>
        </w:tc>
      </w:tr>
    </w:tbl>
    <w:p w:rsidR="008D75FE" w:rsidRDefault="008D75FE">
      <w:pPr>
        <w:pStyle w:val="Normale1"/>
        <w:jc w:val="center"/>
        <w:rPr>
          <w:b/>
          <w:bCs/>
          <w:sz w:val="22"/>
          <w:szCs w:val="22"/>
        </w:rPr>
      </w:pPr>
    </w:p>
    <w:p w:rsidR="008D75FE" w:rsidRDefault="008D75FE">
      <w:pPr>
        <w:pStyle w:val="Normale1"/>
        <w:jc w:val="center"/>
        <w:rPr>
          <w:b/>
          <w:bCs/>
          <w:sz w:val="22"/>
          <w:szCs w:val="22"/>
        </w:rPr>
      </w:pPr>
    </w:p>
    <w:p w:rsidR="008D75FE" w:rsidRDefault="00FC44DA">
      <w:pPr>
        <w:pStyle w:val="Normale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ai fini della partecipazione alla gara ed ai sensi degli artt. 46 e 47 del DPR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</w:p>
    <w:p w:rsidR="008D75FE" w:rsidRDefault="008D75FE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sz w:val="22"/>
          <w:szCs w:val="22"/>
        </w:rPr>
      </w:pPr>
    </w:p>
    <w:p w:rsidR="008D75FE" w:rsidRDefault="008D75FE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sz w:val="22"/>
          <w:szCs w:val="22"/>
        </w:rPr>
      </w:pPr>
    </w:p>
    <w:p w:rsidR="008D75FE" w:rsidRDefault="00FC44DA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8D75FE" w:rsidRDefault="008D75FE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sz w:val="22"/>
          <w:szCs w:val="22"/>
        </w:rPr>
      </w:pPr>
    </w:p>
    <w:p w:rsidR="008D75FE" w:rsidRDefault="00FC44DA">
      <w:pPr>
        <w:pStyle w:val="Normale1"/>
        <w:spacing w:after="120"/>
        <w:ind w:hanging="12"/>
        <w:jc w:val="both"/>
        <w:rPr>
          <w:b/>
          <w:bCs/>
          <w:spacing w:val="-2"/>
          <w:sz w:val="22"/>
          <w:szCs w:val="22"/>
          <w:lang w:eastAsia="it-IT"/>
        </w:rPr>
      </w:pPr>
      <w:r>
        <w:rPr>
          <w:spacing w:val="-2"/>
          <w:sz w:val="22"/>
          <w:szCs w:val="22"/>
          <w:lang w:eastAsia="it-IT"/>
        </w:rPr>
        <w:t xml:space="preserve">- </w:t>
      </w:r>
      <w:r>
        <w:rPr>
          <w:b/>
          <w:bCs/>
          <w:spacing w:val="-2"/>
          <w:sz w:val="22"/>
          <w:szCs w:val="22"/>
          <w:lang w:eastAsia="it-IT"/>
        </w:rPr>
        <w:t xml:space="preserve"> che l'operatore economico che si rappresenta non incorre in alcuna delle cause di esclusione di cui agli articoli 94, 95, 97 e 98 del D. Lgs. 36/2023, sia con riferimento a quelle direttamente imputabili all'operatore economico stesso</w:t>
      </w:r>
      <w:r>
        <w:rPr>
          <w:b/>
          <w:bCs/>
          <w:spacing w:val="-2"/>
          <w:sz w:val="22"/>
          <w:szCs w:val="22"/>
          <w:lang w:eastAsia="it-IT"/>
        </w:rPr>
        <w:t>, sia con riferimento a quelle imputabili alle persone fisiche che rivestono i ruoli/cariche dell'art. 94, comma 3 del D. Lgs. 36/2023;</w:t>
      </w:r>
    </w:p>
    <w:p w:rsidR="008D75FE" w:rsidRDefault="00FC44DA">
      <w:pPr>
        <w:pStyle w:val="Normale1"/>
        <w:spacing w:after="120"/>
        <w:ind w:hanging="12"/>
        <w:jc w:val="both"/>
        <w:rPr>
          <w:bCs/>
          <w:spacing w:val="-2"/>
          <w:sz w:val="22"/>
          <w:szCs w:val="22"/>
          <w:lang w:eastAsia="it-IT"/>
        </w:rPr>
      </w:pPr>
      <w:r>
        <w:rPr>
          <w:b/>
          <w:bCs/>
          <w:spacing w:val="-2"/>
          <w:sz w:val="22"/>
          <w:szCs w:val="22"/>
          <w:lang w:eastAsia="it-IT"/>
        </w:rPr>
        <w:t xml:space="preserve">- </w:t>
      </w:r>
      <w:r>
        <w:rPr>
          <w:bCs/>
          <w:spacing w:val="-2"/>
          <w:sz w:val="22"/>
          <w:szCs w:val="22"/>
          <w:lang w:eastAsia="it-IT"/>
        </w:rPr>
        <w:t>che nel caso in cui in una società il socio unico sia una persona giuridica</w:t>
      </w:r>
    </w:p>
    <w:p w:rsidR="008D75FE" w:rsidRDefault="00FC44DA">
      <w:pPr>
        <w:pStyle w:val="Normale1"/>
        <w:numPr>
          <w:ilvl w:val="0"/>
          <w:numId w:val="2"/>
        </w:numPr>
        <w:spacing w:after="120"/>
        <w:jc w:val="both"/>
        <w:rPr>
          <w:sz w:val="22"/>
          <w:szCs w:val="22"/>
          <w:lang w:eastAsia="it-IT"/>
        </w:rPr>
        <w:sectPr w:rsidR="008D75FE">
          <w:headerReference w:type="default" r:id="rId8"/>
          <w:headerReference w:type="first" r:id="rId9"/>
          <w:pgSz w:w="11906" w:h="16838"/>
          <w:pgMar w:top="1417" w:right="1134" w:bottom="567" w:left="1134" w:header="0" w:footer="0" w:gutter="0"/>
          <w:pgNumType w:start="1"/>
          <w:cols w:space="720"/>
          <w:formProt w:val="0"/>
          <w:titlePg/>
          <w:docGrid w:linePitch="272" w:charSpace="-6145"/>
        </w:sectPr>
      </w:pPr>
      <w:r>
        <w:rPr>
          <w:sz w:val="22"/>
          <w:szCs w:val="22"/>
          <w:lang w:eastAsia="it-IT"/>
        </w:rPr>
        <w:t xml:space="preserve">di dichiarare che, per quanto di propria conoscenza, gli amministratori della persona giuridica, socio unico dell’operatore economico, non versano in alcuna </w:t>
      </w:r>
      <w:r>
        <w:rPr>
          <w:sz w:val="22"/>
          <w:szCs w:val="22"/>
          <w:lang w:eastAsia="it-IT"/>
        </w:rPr>
        <w:t xml:space="preserve">delle cause di esclusione di cui all’articolo 94 del </w:t>
      </w:r>
      <w:proofErr w:type="spellStart"/>
      <w:r>
        <w:rPr>
          <w:sz w:val="22"/>
          <w:szCs w:val="22"/>
          <w:lang w:eastAsia="it-IT"/>
        </w:rPr>
        <w:t>D.Lgs.</w:t>
      </w:r>
      <w:proofErr w:type="spellEnd"/>
      <w:r>
        <w:rPr>
          <w:sz w:val="22"/>
          <w:szCs w:val="22"/>
          <w:lang w:eastAsia="it-IT"/>
        </w:rPr>
        <w:t xml:space="preserve"> 36/2023;</w:t>
      </w:r>
    </w:p>
    <w:p w:rsidR="008D75FE" w:rsidRDefault="00FC44DA">
      <w:pPr>
        <w:pStyle w:val="NormaleWeb"/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lastRenderedPageBreak/>
        <w:t>-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che</w:t>
      </w: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i soggetti di cui all'art 94 comma 3 del D. Lgs. 36/2023, vale a dire: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titolare o direttore tecnico, se si tratta di impresa individuale; socio amministratore o direttore tecnico, s</w:t>
      </w:r>
      <w:r>
        <w:rPr>
          <w:rFonts w:ascii="Times New Roman" w:eastAsia="Times New Roman" w:hAnsi="Times New Roman" w:cs="Times New Roman"/>
          <w:sz w:val="22"/>
          <w:szCs w:val="22"/>
        </w:rPr>
        <w:t>e si tratta di società in nome collettivo; soci accomandatari o  direttore tecnico, se si tratta di società in accomandita semplice; membri del consiglio di amministrazione cui sia stata conferita la legale rappresentanza, 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ivi compresi institori e procurat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ori generali, componenti degli organi con poteri </w:t>
      </w:r>
      <w:r>
        <w:rPr>
          <w:rFonts w:ascii="Times New Roman" w:eastAsia="Times New Roman" w:hAnsi="Times New Roman" w:cs="Times New Roman"/>
          <w:sz w:val="22"/>
          <w:szCs w:val="22"/>
        </w:rPr>
        <w:t>di direzione o di vigilanza o soggetti muniti di poteri di rappresentanza, di direzione o di controllo, il direttore tecnico, il socio unico, l’eventuale amministratore di fatto per tutte le società di altro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tipo o per i consorzi, </w:t>
      </w: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in carica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al momento della partecipazione alla gara (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1</w:t>
      </w: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) sono i seguenti:</w:t>
      </w:r>
    </w:p>
    <w:p w:rsidR="008D75FE" w:rsidRDefault="008D75FE">
      <w:pPr>
        <w:pStyle w:val="NormaleWeb"/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</w:pPr>
    </w:p>
    <w:p w:rsidR="008D75FE" w:rsidRDefault="00FC44DA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Tabella 1 – SOGGETTI IN CARICA</w:t>
      </w:r>
    </w:p>
    <w:p w:rsidR="008D75FE" w:rsidRDefault="008D75FE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tbl>
      <w:tblPr>
        <w:tblW w:w="0" w:type="auto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  <w:gridCol w:w="3161"/>
        <w:gridCol w:w="4374"/>
      </w:tblGrid>
      <w:tr w:rsidR="008D75FE"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FC44DA">
            <w:pPr>
              <w:pStyle w:val="Corpodeltesto2"/>
              <w:tabs>
                <w:tab w:val="left" w:pos="1467"/>
              </w:tabs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3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FC44DA">
            <w:pPr>
              <w:pStyle w:val="Corpodeltesto2"/>
              <w:tabs>
                <w:tab w:val="left" w:pos="1467"/>
              </w:tabs>
              <w:spacing w:line="100" w:lineRule="atLeast"/>
              <w:rPr>
                <w:rStyle w:val="Enfasiforte"/>
                <w:rFonts w:eastAsia="Garamond, Garamond"/>
                <w:i/>
                <w:iCs/>
                <w:sz w:val="22"/>
                <w:szCs w:val="22"/>
              </w:rPr>
            </w:pPr>
            <w:r>
              <w:rPr>
                <w:rStyle w:val="Enfasiforte"/>
                <w:rFonts w:eastAsia="Garamond, Garamond"/>
                <w:i/>
                <w:iCs/>
                <w:sz w:val="22"/>
                <w:szCs w:val="22"/>
              </w:rPr>
              <w:t>Data, luogo di nascita e codice fiscale</w:t>
            </w:r>
          </w:p>
        </w:tc>
        <w:tc>
          <w:tcPr>
            <w:tcW w:w="4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FC44DA">
            <w:pPr>
              <w:pStyle w:val="Corpodeltesto2"/>
              <w:tabs>
                <w:tab w:val="left" w:pos="1467"/>
              </w:tabs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Carica rivestita all'interno della società/impresa concorrente</w:t>
            </w: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</w:tbl>
    <w:p w:rsidR="008D75FE" w:rsidRDefault="008D75F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</w:p>
    <w:p w:rsidR="008D75FE" w:rsidRDefault="008D75FE">
      <w:pPr>
        <w:pStyle w:val="western"/>
        <w:spacing w:after="102"/>
        <w:jc w:val="both"/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shd w:val="clear" w:color="auto" w:fill="CCFFFF"/>
        </w:rPr>
      </w:pPr>
    </w:p>
    <w:p w:rsidR="008D75FE" w:rsidRDefault="00FC44DA">
      <w:pPr>
        <w:pStyle w:val="Corpodeltesto2"/>
        <w:tabs>
          <w:tab w:val="left" w:pos="1467"/>
        </w:tabs>
        <w:spacing w:line="100" w:lineRule="atLeast"/>
        <w:rPr>
          <w:rStyle w:val="Enfasiforte"/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 xml:space="preserve">- che </w:t>
      </w:r>
      <w:r>
        <w:rPr>
          <w:b/>
          <w:bCs/>
          <w:sz w:val="22"/>
          <w:szCs w:val="22"/>
        </w:rPr>
        <w:t xml:space="preserve">i soggetti </w:t>
      </w:r>
      <w:r>
        <w:rPr>
          <w:rStyle w:val="Enfasiforte"/>
          <w:b w:val="0"/>
          <w:bCs w:val="0"/>
          <w:spacing w:val="-2"/>
          <w:sz w:val="22"/>
          <w:szCs w:val="22"/>
          <w:lang w:eastAsia="ar-SA"/>
        </w:rPr>
        <w:t>di cui all'art. 85 del D. Lgs. 159/2011</w:t>
      </w:r>
      <w:r>
        <w:rPr>
          <w:rStyle w:val="Enfasiforte"/>
          <w:spacing w:val="-2"/>
          <w:sz w:val="22"/>
          <w:szCs w:val="22"/>
          <w:lang w:eastAsia="ar-SA"/>
        </w:rPr>
        <w:t>, fatta eccezione dei familiari conviventi, sono i seguenti:</w:t>
      </w:r>
    </w:p>
    <w:p w:rsidR="008D75FE" w:rsidRDefault="008D75F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:rsidR="008D75FE" w:rsidRDefault="008D75F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:rsidR="008D75FE" w:rsidRDefault="008D75F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tbl>
      <w:tblPr>
        <w:tblW w:w="0" w:type="auto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1"/>
        <w:gridCol w:w="2132"/>
        <w:gridCol w:w="2132"/>
        <w:gridCol w:w="3295"/>
      </w:tblGrid>
      <w:tr w:rsidR="008D75FE"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FC44DA">
            <w:pPr>
              <w:pStyle w:val="Contenutotabella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2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FC44DA">
            <w:pPr>
              <w:pStyle w:val="Contenutotabella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Data e luogo di nascita</w:t>
            </w:r>
          </w:p>
        </w:tc>
        <w:tc>
          <w:tcPr>
            <w:tcW w:w="2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FC44DA">
            <w:pPr>
              <w:pStyle w:val="Contenutotabella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FC44DA">
            <w:pPr>
              <w:pStyle w:val="NormaleWeb"/>
              <w:spacing w:after="0" w:line="102" w:lineRule="atLeast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  <w:t xml:space="preserve">Carica rivestita all'interno della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  <w:t>società/impresa</w:t>
            </w: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8D75FE">
        <w:tc>
          <w:tcPr>
            <w:tcW w:w="2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8D75FE" w:rsidRDefault="008D75FE">
            <w:pPr>
              <w:pStyle w:val="Contenutotabella"/>
              <w:rPr>
                <w:sz w:val="22"/>
                <w:szCs w:val="22"/>
              </w:rPr>
            </w:pPr>
          </w:p>
        </w:tc>
      </w:tr>
    </w:tbl>
    <w:p w:rsidR="008D75FE" w:rsidRDefault="008D75FE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:rsidR="008D75FE" w:rsidRDefault="00FC44DA">
      <w:pPr>
        <w:pStyle w:val="Corpodeltesto2"/>
        <w:tabs>
          <w:tab w:val="left" w:pos="1467"/>
        </w:tabs>
        <w:spacing w:before="120"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*  *  *</w:t>
      </w:r>
    </w:p>
    <w:p w:rsidR="008D75FE" w:rsidRDefault="00FC44DA">
      <w:pPr>
        <w:pStyle w:val="sche3"/>
        <w:widowControl/>
        <w:overflowPunct w:val="0"/>
        <w:jc w:val="left"/>
        <w:textAlignment w:val="auto"/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</w:pPr>
      <w:r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  <w:t>(solo per le cooperative):</w:t>
      </w:r>
    </w:p>
    <w:p w:rsidR="008D75FE" w:rsidRDefault="00FC44DA">
      <w:pPr>
        <w:pStyle w:val="sche3"/>
        <w:widowControl/>
        <w:numPr>
          <w:ilvl w:val="0"/>
          <w:numId w:val="1"/>
        </w:numPr>
        <w:overflowPunct w:val="0"/>
        <w:jc w:val="left"/>
        <w:textAlignment w:val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iCs/>
          <w:sz w:val="22"/>
          <w:szCs w:val="22"/>
          <w:lang w:val="it-IT"/>
        </w:rPr>
        <w:t xml:space="preserve"> di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essere regolarmente iscritti nell’apposito </w:t>
      </w:r>
      <w:r>
        <w:rPr>
          <w:rFonts w:ascii="Times New Roman" w:hAnsi="Times New Roman" w:cs="Times New Roman"/>
          <w:sz w:val="22"/>
          <w:szCs w:val="22"/>
          <w:u w:val="single"/>
          <w:lang w:val="it-IT"/>
        </w:rPr>
        <w:t>Albo delle società cooperative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presso la competente CCIAA e che non sussistono cause di esclusione dai pubblici appalti;</w:t>
      </w:r>
    </w:p>
    <w:p w:rsidR="008D75FE" w:rsidRDefault="008D75FE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</w:p>
    <w:p w:rsidR="008D75FE" w:rsidRDefault="008D75FE">
      <w:pPr>
        <w:pStyle w:val="sche3"/>
        <w:keepNext/>
        <w:keepLines/>
        <w:tabs>
          <w:tab w:val="left" w:pos="727"/>
          <w:tab w:val="left" w:pos="1084"/>
        </w:tabs>
        <w:ind w:left="13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8D75FE" w:rsidRDefault="00FC44DA">
      <w:pPr>
        <w:pStyle w:val="sche3"/>
        <w:keepNext/>
        <w:keepLines/>
        <w:tabs>
          <w:tab w:val="left" w:pos="727"/>
          <w:tab w:val="left" w:pos="1084"/>
        </w:tabs>
        <w:ind w:left="13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DICHIARA ANCORA</w:t>
      </w:r>
    </w:p>
    <w:p w:rsidR="008D75FE" w:rsidRDefault="008D75FE">
      <w:pPr>
        <w:pStyle w:val="sche3"/>
        <w:keepNext/>
        <w:keepLines/>
        <w:tabs>
          <w:tab w:val="left" w:pos="727"/>
          <w:tab w:val="left" w:pos="1084"/>
        </w:tabs>
        <w:ind w:left="13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8D75FE" w:rsidRDefault="00FC44DA">
      <w:pPr>
        <w:pStyle w:val="sche3"/>
        <w:keepNext/>
        <w:keepLines/>
        <w:numPr>
          <w:ilvl w:val="0"/>
          <w:numId w:val="2"/>
        </w:numPr>
        <w:tabs>
          <w:tab w:val="left" w:pos="426"/>
        </w:tabs>
        <w:ind w:left="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ad integrazione del DGUE: di non incorrere nella causa di esclusione di cui all’art.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95, comma 1,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it-IT"/>
        </w:rPr>
        <w:t>lett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it-IT"/>
        </w:rPr>
        <w:t>) e</w:t>
      </w:r>
      <w:r>
        <w:rPr>
          <w:rFonts w:ascii="Times New Roman" w:hAnsi="Times New Roman" w:cs="Times New Roman"/>
          <w:sz w:val="22"/>
          <w:szCs w:val="22"/>
          <w:lang w:val="it-IT"/>
        </w:rPr>
        <w:t>, e cioè di non avere commesso un illecit</w:t>
      </w:r>
      <w:r>
        <w:rPr>
          <w:rFonts w:ascii="Times New Roman" w:hAnsi="Times New Roman" w:cs="Times New Roman"/>
          <w:sz w:val="22"/>
          <w:szCs w:val="22"/>
          <w:lang w:val="it-IT"/>
        </w:rPr>
        <w:t>o professionale grave di cui all’art. 98, tale da rendere dubbia la propria integrità o affidabilità e pertanto dichiara:</w:t>
      </w:r>
    </w:p>
    <w:p w:rsidR="008D75FE" w:rsidRDefault="00FC44DA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a) di non avere ricevuto sanzione esecutiva irrogata dall’Autorità garante della concorrenza e del mercato o da altra autorità di sett</w:t>
      </w:r>
      <w:r>
        <w:rPr>
          <w:rFonts w:ascii="Times New Roman" w:hAnsi="Times New Roman" w:cs="Times New Roman"/>
          <w:sz w:val="22"/>
          <w:szCs w:val="22"/>
          <w:lang w:val="it-IT"/>
        </w:rPr>
        <w:t>ore, rilevante in relazione all’oggetto specifico dell’appalto;</w:t>
      </w:r>
    </w:p>
    <w:p w:rsidR="008D75FE" w:rsidRDefault="00FC44DA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b) di non aver tentato di influenzare indebitamente il processo decisionale della stazione appaltante, di non aver ottenuto informazioni riservate a proprio vantaggio, di non aver fornito, anc</w:t>
      </w:r>
      <w:r>
        <w:rPr>
          <w:rFonts w:ascii="Times New Roman" w:hAnsi="Times New Roman" w:cs="Times New Roman"/>
          <w:sz w:val="22"/>
          <w:szCs w:val="22"/>
          <w:lang w:val="it-IT"/>
        </w:rPr>
        <w:t>he per negligenza, informazioni false o fuorvianti suscettibili di influenzare le decisioni sull'esclusione, la selezione o l'aggiudicazione;</w:t>
      </w:r>
    </w:p>
    <w:p w:rsidR="008D75FE" w:rsidRDefault="00FC44DA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c) di non aver dimostrato significative o persistenti carenze nell'esecuzione di un precedente contratto di appalt</w:t>
      </w:r>
      <w:r>
        <w:rPr>
          <w:rFonts w:ascii="Times New Roman" w:hAnsi="Times New Roman" w:cs="Times New Roman"/>
          <w:sz w:val="22"/>
          <w:szCs w:val="22"/>
          <w:lang w:val="it-IT"/>
        </w:rPr>
        <w:t>o o di concessione che ne hanno causato la risoluzione per inadempimento oppure la condanna al risarcimento del danno o altre sanzioni comparabili, derivanti da inadempienze particolarmente gravi o la cui ripetizione sia indice di una persistente carenza p</w:t>
      </w:r>
      <w:r>
        <w:rPr>
          <w:rFonts w:ascii="Times New Roman" w:hAnsi="Times New Roman" w:cs="Times New Roman"/>
          <w:sz w:val="22"/>
          <w:szCs w:val="22"/>
          <w:lang w:val="it-IT"/>
        </w:rPr>
        <w:t>rofessionale;</w:t>
      </w:r>
    </w:p>
    <w:p w:rsidR="008D75FE" w:rsidRDefault="00FC44DA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d) di non aver commesso grave inadempimento nei confronti di uno o più subappaltatori;</w:t>
      </w:r>
    </w:p>
    <w:p w:rsidR="008D75FE" w:rsidRDefault="008D75FE">
      <w:pPr>
        <w:pStyle w:val="sche3"/>
        <w:keepNext/>
        <w:keepLines/>
        <w:tabs>
          <w:tab w:val="left" w:pos="727"/>
          <w:tab w:val="left" w:pos="1084"/>
        </w:tabs>
        <w:rPr>
          <w:rFonts w:ascii="Times New Roman" w:hAnsi="Times New Roman" w:cs="Times New Roman"/>
          <w:sz w:val="22"/>
          <w:szCs w:val="22"/>
          <w:lang w:val="it-IT"/>
        </w:rPr>
      </w:pPr>
    </w:p>
    <w:p w:rsidR="008D75FE" w:rsidRDefault="00FC44DA">
      <w:pPr>
        <w:pStyle w:val="sche3"/>
        <w:keepNext/>
        <w:keepLines/>
        <w:numPr>
          <w:ilvl w:val="0"/>
          <w:numId w:val="2"/>
        </w:numPr>
        <w:tabs>
          <w:tab w:val="left" w:pos="0"/>
          <w:tab w:val="left" w:pos="426"/>
        </w:tabs>
        <w:ind w:left="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ad integrazione del DGUE di non incorrere nella causa di esclusione di cui all’art.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94, comma 5,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it-IT"/>
        </w:rPr>
        <w:t>lett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it-IT"/>
        </w:rPr>
        <w:t>) e</w:t>
      </w:r>
      <w:r>
        <w:rPr>
          <w:rFonts w:ascii="Times New Roman" w:hAnsi="Times New Roman" w:cs="Times New Roman"/>
          <w:sz w:val="22"/>
          <w:szCs w:val="22"/>
          <w:lang w:val="it-IT"/>
        </w:rPr>
        <w:t>, e cioè di non essere iscritto nel casellario inf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ormatico tenuto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dall’Anac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per aver presentato false dichiarazioni o falsa documentazione nelle procedure di gara e negli affidamenti di subappalti</w:t>
      </w:r>
    </w:p>
    <w:p w:rsidR="008D75FE" w:rsidRDefault="008D75FE">
      <w:pPr>
        <w:pStyle w:val="sche3"/>
        <w:keepNext/>
        <w:keepLines/>
        <w:tabs>
          <w:tab w:val="left" w:pos="0"/>
          <w:tab w:val="left" w:pos="1084"/>
        </w:tabs>
        <w:rPr>
          <w:rFonts w:ascii="Times New Roman" w:hAnsi="Times New Roman" w:cs="Times New Roman"/>
          <w:sz w:val="22"/>
          <w:szCs w:val="22"/>
          <w:lang w:val="it-IT"/>
        </w:rPr>
      </w:pPr>
    </w:p>
    <w:p w:rsidR="008D75FE" w:rsidRDefault="00FC44DA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8D75FE" w:rsidRDefault="008D75FE">
      <w:pPr>
        <w:pStyle w:val="Normale1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8D75FE" w:rsidRDefault="00FC44DA">
      <w:pPr>
        <w:pStyle w:val="Normale1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(per gli operatori economici che hanno depositato la domanda di cui all’161 del Regio Decreto 16 marzo 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1942, n. 267 nelle more del deposito del Decreto di cui all’art. 163 dello stesso Regio Decreto 16 marzo 1942, n. 267 ad integrazione di quanto indicato nella parte III, sez. C. </w:t>
      </w:r>
      <w:proofErr w:type="spellStart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lett.d</w:t>
      </w:r>
      <w:proofErr w:type="spellEnd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 del DGUE:)</w:t>
      </w:r>
    </w:p>
    <w:p w:rsidR="008D75FE" w:rsidRDefault="00FC44DA">
      <w:pPr>
        <w:pStyle w:val="Normale1"/>
        <w:ind w:left="-2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gli estremi del provvedimento di autorizzazione a parteci</w:t>
      </w:r>
      <w:r>
        <w:rPr>
          <w:sz w:val="22"/>
          <w:szCs w:val="22"/>
          <w:lang w:eastAsia="it-IT"/>
        </w:rPr>
        <w:t>pare alle gare rilasciato dal competente Tribunale è il seguente: _________________________________________________________________________</w:t>
      </w:r>
      <w:proofErr w:type="gramStart"/>
      <w:r>
        <w:rPr>
          <w:sz w:val="22"/>
          <w:szCs w:val="22"/>
          <w:lang w:eastAsia="it-IT"/>
        </w:rPr>
        <w:t>_ ;</w:t>
      </w:r>
      <w:proofErr w:type="gramEnd"/>
    </w:p>
    <w:p w:rsidR="008D75FE" w:rsidRDefault="00FC44DA">
      <w:pPr>
        <w:pStyle w:val="Normale1"/>
        <w:ind w:left="-2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il soggetto ausiliario richiesto dall’art. 372 comma 4 del D.lgs. 14/2019 è il seguente: ______________________</w:t>
      </w:r>
      <w:r>
        <w:rPr>
          <w:sz w:val="22"/>
          <w:szCs w:val="22"/>
          <w:lang w:eastAsia="it-IT"/>
        </w:rPr>
        <w:t>______________________________________________________</w:t>
      </w:r>
      <w:proofErr w:type="gramStart"/>
      <w:r>
        <w:rPr>
          <w:sz w:val="22"/>
          <w:szCs w:val="22"/>
          <w:lang w:eastAsia="it-IT"/>
        </w:rPr>
        <w:t>_ .</w:t>
      </w:r>
      <w:proofErr w:type="gramEnd"/>
      <w:r>
        <w:rPr>
          <w:sz w:val="22"/>
          <w:szCs w:val="22"/>
          <w:lang w:eastAsia="it-IT"/>
        </w:rPr>
        <w:t xml:space="preserve"> Con riferimento al necessario avvalimento si applica l’art. 104 del </w:t>
      </w:r>
      <w:proofErr w:type="spellStart"/>
      <w:r>
        <w:rPr>
          <w:sz w:val="22"/>
          <w:szCs w:val="22"/>
          <w:lang w:eastAsia="it-IT"/>
        </w:rPr>
        <w:t>D.Lgs.</w:t>
      </w:r>
      <w:proofErr w:type="spellEnd"/>
      <w:r>
        <w:rPr>
          <w:sz w:val="22"/>
          <w:szCs w:val="22"/>
          <w:lang w:eastAsia="it-IT"/>
        </w:rPr>
        <w:t xml:space="preserve"> 36/2023.</w:t>
      </w:r>
    </w:p>
    <w:p w:rsidR="008D75FE" w:rsidRDefault="008D75FE">
      <w:pPr>
        <w:pStyle w:val="Normale1"/>
        <w:ind w:left="-24"/>
        <w:jc w:val="both"/>
        <w:rPr>
          <w:sz w:val="22"/>
          <w:szCs w:val="22"/>
          <w:lang w:eastAsia="it-IT"/>
        </w:rPr>
      </w:pPr>
    </w:p>
    <w:p w:rsidR="008D75FE" w:rsidRDefault="00FC44DA">
      <w:pPr>
        <w:pStyle w:val="Normale1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(per gli operatori economici ammessi al concordato preventivo con continuità aziendale di cui all’art. 186 bis de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l Regio Decreto 16 marzo 1942, n. 267 ad integrazione di quanto indicato nella parte III, sez. C. </w:t>
      </w:r>
      <w:proofErr w:type="spellStart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lett.d</w:t>
      </w:r>
      <w:proofErr w:type="spellEnd"/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) del DGUE:)</w:t>
      </w:r>
    </w:p>
    <w:p w:rsidR="008D75FE" w:rsidRDefault="00FC44DA">
      <w:pPr>
        <w:pStyle w:val="Normale1"/>
        <w:ind w:left="-2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che gli estremi del provvedimento di ammissione al concordato e del provvedimento di autorizzazione a partecipare alle gare rilasciati da</w:t>
      </w:r>
      <w:r>
        <w:rPr>
          <w:sz w:val="22"/>
          <w:szCs w:val="22"/>
          <w:lang w:eastAsia="it-IT"/>
        </w:rPr>
        <w:t xml:space="preserve">l competente Tribunale, nonché la dichiarazione </w:t>
      </w:r>
      <w:r>
        <w:rPr>
          <w:sz w:val="22"/>
          <w:szCs w:val="22"/>
        </w:rPr>
        <w:t xml:space="preserve">che le altre imprese aderenti al raggruppamento non sono assoggettate ad una procedura concorsuale ai sensi dell’art. 186 bis, comma 6 del Regio Decreto 16 marzo 1942 n. 267, sono i seguenti: </w:t>
      </w:r>
      <w:r>
        <w:rPr>
          <w:sz w:val="22"/>
          <w:szCs w:val="22"/>
          <w:lang w:eastAsia="it-IT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eastAsia="it-IT"/>
        </w:rPr>
        <w:t>__________________________ .</w:t>
      </w:r>
    </w:p>
    <w:p w:rsidR="008D75FE" w:rsidRDefault="008D75FE">
      <w:pPr>
        <w:pStyle w:val="Normale1"/>
        <w:ind w:left="-24"/>
        <w:jc w:val="both"/>
        <w:rPr>
          <w:sz w:val="22"/>
          <w:szCs w:val="22"/>
          <w:lang w:eastAsia="it-IT"/>
        </w:rPr>
      </w:pPr>
    </w:p>
    <w:p w:rsidR="008D75FE" w:rsidRDefault="00FC44DA">
      <w:pPr>
        <w:pStyle w:val="Normale1"/>
        <w:ind w:left="-2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Ai sensi dell’articolo 186bis, comma 5, lett. a) del Regio Decreto n. 267/1942 l’operatore economico dovrà inoltre presentare la relazione di un professionista in possesso dei requisiti di cui all’articolo 67, comma 3, lett. d</w:t>
      </w:r>
      <w:r>
        <w:rPr>
          <w:sz w:val="22"/>
          <w:szCs w:val="22"/>
          <w:lang w:eastAsia="it-IT"/>
        </w:rPr>
        <w:t>)</w:t>
      </w:r>
      <w:r>
        <w:rPr>
          <w:sz w:val="22"/>
          <w:szCs w:val="22"/>
        </w:rPr>
        <w:t xml:space="preserve"> del Regio Decreto 16 marzo 1942 n. 267,</w:t>
      </w:r>
      <w:r>
        <w:rPr>
          <w:sz w:val="22"/>
          <w:szCs w:val="22"/>
          <w:lang w:eastAsia="it-IT"/>
        </w:rPr>
        <w:t xml:space="preserve"> che attesta la conformità al piano e la ragionevole capacità di adempimento del contratto (da allegare all’interno della “Documentazione amministrativa”).</w:t>
      </w:r>
    </w:p>
    <w:p w:rsidR="008D75FE" w:rsidRDefault="008D75FE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sz w:val="22"/>
          <w:szCs w:val="22"/>
        </w:rPr>
      </w:pPr>
    </w:p>
    <w:p w:rsidR="008D75FE" w:rsidRDefault="00FC44DA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POI</w:t>
      </w:r>
    </w:p>
    <w:p w:rsidR="008D75FE" w:rsidRDefault="008D75FE">
      <w:pPr>
        <w:pStyle w:val="Normale1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8D75FE" w:rsidRDefault="00FC44DA">
      <w:pPr>
        <w:pStyle w:val="Normale1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(Per l’operatore economico che abbia commess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o gravi violazioni non definitivamente accertate agli obblighi relativi al pagamento di imposte e tasse, indicare di seguito gli estremi delle stesse,</w:t>
      </w:r>
      <w:r>
        <w:rPr>
          <w:rFonts w:eastAsia="Garamond, Garamond"/>
          <w:bCs/>
          <w:iCs/>
          <w:sz w:val="22"/>
          <w:szCs w:val="22"/>
          <w:shd w:val="clear" w:color="auto" w:fill="FFFFCC"/>
          <w:lang w:eastAsia="it-IT"/>
        </w:rPr>
        <w:t xml:space="preserve"> 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al fine di consentire a questa Stazione Appaltante le valutazioni di cui all’art 95 comma 2, del D. Lgs. 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36/2023, tenuto conto di quanto stabilito nell'allegato II.10 al D. Lgs. 36/2023)</w:t>
      </w:r>
    </w:p>
    <w:p w:rsidR="008D75FE" w:rsidRDefault="00FC44DA">
      <w:pPr>
        <w:pStyle w:val="Normale1"/>
        <w:ind w:left="-2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u w:val="single"/>
        </w:rPr>
        <w:lastRenderedPageBreak/>
        <w:t>- che l’operatore economico che si rappresenta ha commesso le seguenti gravi violazioni non definitivamente accertate</w:t>
      </w:r>
      <w:r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______________________</w:t>
      </w:r>
      <w:r>
        <w:rPr>
          <w:sz w:val="22"/>
          <w:szCs w:val="22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eastAsia="it-IT"/>
        </w:rPr>
        <w:t>___________________________</w:t>
      </w:r>
    </w:p>
    <w:p w:rsidR="008D75FE" w:rsidRDefault="00FC44DA">
      <w:pPr>
        <w:pStyle w:val="Normale1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 (Per l’operatore economico che abbia commesso gravi violazioni non definitivamente accertate agli obblighi in materia contributiva e previdenziale, indicare di seguito gli estremi delle stesse, al fine di consentire a questa St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azione Appaltante le valutazioni di cui all’art 95 comma 2, del D. Lgs. 36/2023</w:t>
      </w:r>
      <w:r>
        <w:t xml:space="preserve"> </w:t>
      </w:r>
      <w:r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 xml:space="preserve">tenuto conto di quanto stabilito nell'allegato II.10 al D. Lgs. 36/2023) </w:t>
      </w:r>
    </w:p>
    <w:p w:rsidR="008D75FE" w:rsidRDefault="008D75FE">
      <w:pPr>
        <w:pStyle w:val="Normale1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8D75FE" w:rsidRDefault="00FC44DA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- che l’operatore economico che si rappresenta ha commesso le seguenti gravi violazioni non definitiv</w:t>
      </w:r>
      <w:r>
        <w:rPr>
          <w:sz w:val="22"/>
          <w:szCs w:val="22"/>
          <w:u w:val="single"/>
        </w:rPr>
        <w:t>amente accertate</w:t>
      </w:r>
      <w:r>
        <w:rPr>
          <w:sz w:val="22"/>
          <w:szCs w:val="22"/>
        </w:rPr>
        <w:t>: _____________________________________________________________________________ 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</w:t>
      </w:r>
    </w:p>
    <w:p w:rsidR="008D75FE" w:rsidRDefault="008D75FE">
      <w:pPr>
        <w:pStyle w:val="Normale1"/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sz w:val="22"/>
          <w:szCs w:val="22"/>
        </w:rPr>
      </w:pPr>
    </w:p>
    <w:p w:rsidR="008D75FE" w:rsidRDefault="00FC44DA">
      <w:pPr>
        <w:pStyle w:val="Normale1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Ai sensi dell'articolo 76 del D.P.R. 445/2000, consapevole della responsabilità penale cui può andare incontro in caso di dichiarazione mendace o contenen</w:t>
      </w:r>
      <w:r>
        <w:rPr>
          <w:sz w:val="22"/>
          <w:szCs w:val="22"/>
        </w:rPr>
        <w:t>te dati non più rispondenti a verità, la presente dichiarazione è sottoscritta in data …………………………</w:t>
      </w:r>
    </w:p>
    <w:p w:rsidR="008D75FE" w:rsidRDefault="008D75FE">
      <w:pPr>
        <w:pStyle w:val="Normale1"/>
        <w:spacing w:line="240" w:lineRule="atLeast"/>
        <w:jc w:val="both"/>
        <w:rPr>
          <w:sz w:val="22"/>
          <w:szCs w:val="22"/>
        </w:rPr>
      </w:pPr>
    </w:p>
    <w:p w:rsidR="008D75FE" w:rsidRDefault="008D75FE">
      <w:pPr>
        <w:pStyle w:val="Normale1"/>
        <w:spacing w:line="240" w:lineRule="atLeast"/>
        <w:jc w:val="both"/>
        <w:rPr>
          <w:sz w:val="22"/>
          <w:szCs w:val="22"/>
        </w:rPr>
      </w:pPr>
    </w:p>
    <w:p w:rsidR="008D75FE" w:rsidRDefault="008D75FE">
      <w:pPr>
        <w:pStyle w:val="Normale1"/>
        <w:spacing w:line="240" w:lineRule="atLeast"/>
        <w:jc w:val="both"/>
        <w:rPr>
          <w:sz w:val="22"/>
          <w:szCs w:val="22"/>
        </w:rPr>
      </w:pPr>
    </w:p>
    <w:p w:rsidR="008D75FE" w:rsidRDefault="00FC44DA">
      <w:pPr>
        <w:pStyle w:val="Normale1"/>
        <w:spacing w:line="240" w:lineRule="atLeast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Sottoscrizione digitale</w:t>
      </w:r>
    </w:p>
    <w:p w:rsidR="008D75FE" w:rsidRDefault="008D75FE">
      <w:pPr>
        <w:pStyle w:val="Normale1"/>
        <w:spacing w:line="240" w:lineRule="atLeast"/>
        <w:jc w:val="center"/>
        <w:rPr>
          <w:bCs/>
          <w:sz w:val="22"/>
          <w:szCs w:val="22"/>
          <w:u w:val="single"/>
        </w:rPr>
      </w:pPr>
    </w:p>
    <w:p w:rsidR="008D75FE" w:rsidRDefault="00FC44DA">
      <w:pPr>
        <w:pStyle w:val="Normale1"/>
        <w:spacing w:line="240" w:lineRule="atLeast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______________________________________</w:t>
      </w:r>
    </w:p>
    <w:p w:rsidR="008D75FE" w:rsidRDefault="008D75FE">
      <w:pPr>
        <w:pStyle w:val="Corpodeltesto"/>
        <w:spacing w:line="240" w:lineRule="auto"/>
        <w:rPr>
          <w:bCs/>
          <w:sz w:val="20"/>
          <w:u w:val="single"/>
        </w:rPr>
      </w:pPr>
    </w:p>
    <w:p w:rsidR="008D75FE" w:rsidRDefault="008D75FE">
      <w:pPr>
        <w:pStyle w:val="Pidipagina"/>
        <w:pBdr>
          <w:top w:val="nil"/>
          <w:left w:val="nil"/>
          <w:bottom w:val="nil"/>
          <w:right w:val="nil"/>
        </w:pBdr>
      </w:pPr>
    </w:p>
    <w:sectPr w:rsidR="008D75FE">
      <w:headerReference w:type="default" r:id="rId10"/>
      <w:footerReference w:type="default" r:id="rId11"/>
      <w:pgSz w:w="11906" w:h="16838"/>
      <w:pgMar w:top="1417" w:right="1134" w:bottom="1134" w:left="1134" w:header="0" w:footer="567" w:gutter="0"/>
      <w:cols w:space="720"/>
      <w:formProt w:val="0"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44DA">
      <w:r>
        <w:separator/>
      </w:r>
    </w:p>
  </w:endnote>
  <w:endnote w:type="continuationSeparator" w:id="0">
    <w:p w:rsidR="00000000" w:rsidRDefault="00FC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, Garamon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FE" w:rsidRDefault="00FC44DA">
    <w:pPr>
      <w:pStyle w:val="Pidipagina"/>
      <w:ind w:right="360"/>
      <w:jc w:val="center"/>
    </w:pPr>
    <w:r>
      <w:pict>
        <v:rect id="_x0000_s1025" style="position:absolute;left:0;text-align:left;margin-left:237.95pt;margin-top:.05pt;width:6.05pt;height:13.8pt;z-index:251657728;mso-wrap-distance-left:-.05pt;mso-wrap-distance-top:0;mso-wrap-distance-right:-.05pt;mso-wrap-distance-bottom:0" strokeweight="0">
          <v:fill opacity="0"/>
          <v:textbox inset="0,0,0,0">
            <w:txbxContent>
              <w:p w:rsidR="008D75FE" w:rsidRDefault="00FC44DA">
                <w:pPr>
                  <w:pStyle w:val="Pidipagina"/>
                  <w:pBdr>
                    <w:top w:val="nil"/>
                    <w:left w:val="nil"/>
                    <w:bottom w:val="nil"/>
                    <w:right w:val="nil"/>
                  </w:pBd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44DA">
      <w:r>
        <w:separator/>
      </w:r>
    </w:p>
  </w:footnote>
  <w:footnote w:type="continuationSeparator" w:id="0">
    <w:p w:rsidR="00000000" w:rsidRDefault="00FC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FE" w:rsidRDefault="008D75F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DA" w:rsidRPr="00FC44DA" w:rsidRDefault="00FC44DA" w:rsidP="00FC44DA">
    <w:pPr>
      <w:suppressAutoHyphens/>
      <w:jc w:val="center"/>
      <w:rPr>
        <w:rFonts w:ascii="Calibri" w:eastAsia="SimSun" w:hAnsi="Calibri" w:cs="Calibri"/>
        <w:b/>
        <w:color w:val="000000"/>
        <w:kern w:val="1"/>
        <w:sz w:val="24"/>
        <w:szCs w:val="24"/>
        <w:lang w:eastAsia="zh-CN"/>
      </w:rPr>
    </w:pPr>
  </w:p>
  <w:p w:rsidR="008D75FE" w:rsidRPr="00FC44DA" w:rsidRDefault="00FC44DA" w:rsidP="00FC44DA">
    <w:pPr>
      <w:suppressAutoHyphens/>
      <w:rPr>
        <w:rFonts w:eastAsia="SimSun"/>
        <w:noProof/>
        <w:kern w:val="1"/>
        <w:sz w:val="24"/>
        <w:szCs w:val="24"/>
        <w:lang w:eastAsia="zh-CN"/>
      </w:rPr>
    </w:pPr>
    <w:r w:rsidRPr="00FC44DA">
      <w:rPr>
        <w:rFonts w:eastAsia="SimSun"/>
        <w:noProof/>
        <w:kern w:val="1"/>
        <w:sz w:val="24"/>
        <w:szCs w:val="24"/>
        <w:lang w:eastAsia="zh-CN"/>
      </w:rPr>
      <w:t xml:space="preserve">    </w:t>
    </w:r>
    <w:r w:rsidRPr="00FC44DA">
      <w:rPr>
        <w:rFonts w:eastAsia="SimSun"/>
        <w:noProof/>
        <w:kern w:val="1"/>
        <w:sz w:val="24"/>
        <w:szCs w:val="24"/>
        <w:lang w:eastAsia="zh-CN"/>
      </w:rPr>
      <w:drawing>
        <wp:inline distT="0" distB="0" distL="0" distR="0" wp14:anchorId="048AAA41" wp14:editId="56B23A95">
          <wp:extent cx="1697990" cy="5937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r="70184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44DA">
      <w:rPr>
        <w:rFonts w:eastAsia="SimSun"/>
        <w:noProof/>
        <w:kern w:val="1"/>
        <w:sz w:val="24"/>
        <w:szCs w:val="24"/>
        <w:lang w:eastAsia="zh-CN"/>
      </w:rPr>
      <w:drawing>
        <wp:inline distT="0" distB="0" distL="0" distR="0" wp14:anchorId="0E7E3E19" wp14:editId="1C210200">
          <wp:extent cx="1567815" cy="6057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50" r="36697"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44DA">
      <w:rPr>
        <w:rFonts w:eastAsia="SimSun"/>
        <w:noProof/>
        <w:kern w:val="1"/>
        <w:sz w:val="24"/>
        <w:szCs w:val="24"/>
        <w:lang w:eastAsia="zh-CN"/>
      </w:rPr>
      <w:t xml:space="preserve">    </w:t>
    </w:r>
    <w:r w:rsidRPr="00FC44DA">
      <w:rPr>
        <w:rFonts w:eastAsia="SimSun"/>
        <w:noProof/>
        <w:kern w:val="1"/>
        <w:sz w:val="24"/>
        <w:szCs w:val="24"/>
        <w:lang w:eastAsia="zh-CN"/>
      </w:rPr>
      <w:drawing>
        <wp:inline distT="0" distB="0" distL="0" distR="0" wp14:anchorId="39568754" wp14:editId="47926660">
          <wp:extent cx="949960" cy="7480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71" r="4719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44DA">
      <w:rPr>
        <w:rFonts w:eastAsia="SimSun"/>
        <w:noProof/>
        <w:kern w:val="1"/>
        <w:sz w:val="24"/>
        <w:szCs w:val="24"/>
        <w:lang w:eastAsia="zh-CN"/>
      </w:rPr>
      <w:t xml:space="preserve"> </w:t>
    </w:r>
    <w:r w:rsidRPr="00FC44DA">
      <w:rPr>
        <w:rFonts w:eastAsia="SimSun"/>
        <w:noProof/>
        <w:kern w:val="1"/>
        <w:sz w:val="24"/>
        <w:szCs w:val="24"/>
        <w:lang w:eastAsia="zh-CN"/>
      </w:rPr>
      <w:drawing>
        <wp:inline distT="0" distB="0" distL="0" distR="0" wp14:anchorId="566E47F1" wp14:editId="5FCAC4F0">
          <wp:extent cx="1555750" cy="712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44DA">
      <w:rPr>
        <w:rFonts w:eastAsia="SimSun"/>
        <w:noProof/>
        <w:kern w:val="1"/>
        <w:sz w:val="24"/>
        <w:szCs w:val="24"/>
        <w:lang w:eastAsia="zh-CN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FE" w:rsidRDefault="008D75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BEC"/>
    <w:multiLevelType w:val="multilevel"/>
    <w:tmpl w:val="4C360E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3C4CB2"/>
    <w:multiLevelType w:val="multilevel"/>
    <w:tmpl w:val="FAF679D4"/>
    <w:lvl w:ilvl="0">
      <w:start w:val="1"/>
      <w:numFmt w:val="bullet"/>
      <w:lvlText w:val=""/>
      <w:lvlJc w:val="left"/>
      <w:pPr>
        <w:ind w:left="708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B026A2"/>
    <w:multiLevelType w:val="multilevel"/>
    <w:tmpl w:val="AEEC175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FE"/>
    <w:rsid w:val="008D75FE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2039B"/>
  <w15:docId w15:val="{DAC02E42-6C4B-49BF-9502-7B63343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link w:val="Titolo1Carattere"/>
    <w:uiPriority w:val="99"/>
    <w:qFormat/>
    <w:rsid w:val="001A15FE"/>
    <w:pPr>
      <w:outlineLvl w:val="0"/>
    </w:pPr>
  </w:style>
  <w:style w:type="paragraph" w:styleId="Titolo2">
    <w:name w:val="heading 2"/>
    <w:basedOn w:val="Normale1"/>
    <w:link w:val="Titolo2Carattere"/>
    <w:uiPriority w:val="99"/>
    <w:qFormat/>
    <w:rsid w:val="001A15FE"/>
    <w:pPr>
      <w:outlineLvl w:val="1"/>
    </w:pPr>
  </w:style>
  <w:style w:type="paragraph" w:styleId="Titolo3">
    <w:name w:val="heading 3"/>
    <w:basedOn w:val="Normale1"/>
    <w:link w:val="Titolo3Carattere"/>
    <w:uiPriority w:val="99"/>
    <w:qFormat/>
    <w:rsid w:val="001A15FE"/>
    <w:pPr>
      <w:outlineLvl w:val="2"/>
    </w:pPr>
  </w:style>
  <w:style w:type="paragraph" w:styleId="Titolo4">
    <w:name w:val="heading 4"/>
    <w:basedOn w:val="Normale1"/>
    <w:link w:val="Titolo4Carattere"/>
    <w:uiPriority w:val="99"/>
    <w:qFormat/>
    <w:rsid w:val="001A15FE"/>
    <w:pPr>
      <w:outlineLvl w:val="3"/>
    </w:pPr>
  </w:style>
  <w:style w:type="paragraph" w:styleId="Titolo5">
    <w:name w:val="heading 5"/>
    <w:basedOn w:val="Normale1"/>
    <w:link w:val="Titolo5Carattere"/>
    <w:uiPriority w:val="99"/>
    <w:qFormat/>
    <w:rsid w:val="001A15FE"/>
    <w:pPr>
      <w:outlineLvl w:val="4"/>
    </w:pPr>
  </w:style>
  <w:style w:type="paragraph" w:styleId="Titolo6">
    <w:name w:val="heading 6"/>
    <w:basedOn w:val="Normale1"/>
    <w:link w:val="Titolo6Carattere"/>
    <w:uiPriority w:val="99"/>
    <w:qFormat/>
    <w:rsid w:val="001A15FE"/>
    <w:pPr>
      <w:outlineLvl w:val="5"/>
    </w:pPr>
  </w:style>
  <w:style w:type="paragraph" w:styleId="Titolo7">
    <w:name w:val="heading 7"/>
    <w:basedOn w:val="Normale1"/>
    <w:link w:val="Titolo7Carattere"/>
    <w:uiPriority w:val="99"/>
    <w:qFormat/>
    <w:rsid w:val="001A15FE"/>
    <w:pPr>
      <w:outlineLvl w:val="6"/>
    </w:pPr>
  </w:style>
  <w:style w:type="paragraph" w:styleId="Titolo8">
    <w:name w:val="heading 8"/>
    <w:basedOn w:val="Normale1"/>
    <w:link w:val="Titolo8Carattere"/>
    <w:uiPriority w:val="99"/>
    <w:qFormat/>
    <w:rsid w:val="001A15FE"/>
    <w:pPr>
      <w:outlineLvl w:val="7"/>
    </w:pPr>
  </w:style>
  <w:style w:type="paragraph" w:styleId="Titolo9">
    <w:name w:val="heading 9"/>
    <w:basedOn w:val="Normale1"/>
    <w:link w:val="Titolo9Carattere"/>
    <w:uiPriority w:val="99"/>
    <w:qFormat/>
    <w:rsid w:val="001A15FE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346F7"/>
    <w:pPr>
      <w:suppressAutoHyphens/>
      <w:textAlignment w:val="baseline"/>
    </w:pPr>
    <w:rPr>
      <w:color w:val="00000A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0BB3"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0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0BB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0BB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E0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0BB3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E0BB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0BB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E0BB3"/>
    <w:rPr>
      <w:rFonts w:ascii="Cambria" w:hAnsi="Cambria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0BB3"/>
    <w:rPr>
      <w:rFonts w:cs="Times New Roman"/>
      <w:sz w:val="2"/>
    </w:rPr>
  </w:style>
  <w:style w:type="character" w:customStyle="1" w:styleId="TitoloCarattere">
    <w:name w:val="Titolo Carattere"/>
    <w:basedOn w:val="Carpredefinitoparagrafo"/>
    <w:link w:val="Titolo"/>
    <w:locked/>
    <w:rsid w:val="000E0BB3"/>
    <w:rPr>
      <w:rFonts w:ascii="Cambria" w:hAnsi="Cambria" w:cs="Times New Roman"/>
      <w:b/>
      <w:bCs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0BB3"/>
    <w:rPr>
      <w:rFonts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0BB3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locked/>
    <w:rsid w:val="000E0BB3"/>
    <w:rPr>
      <w:rFonts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0BB3"/>
    <w:rPr>
      <w:rFonts w:cs="Times New Roman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11C6B"/>
    <w:rPr>
      <w:rFonts w:cs="Times New Roman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1"/>
    <w:uiPriority w:val="99"/>
    <w:semiHidden/>
    <w:locked/>
    <w:rsid w:val="000E0BB3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0BB3"/>
    <w:rPr>
      <w:rFonts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0BB3"/>
    <w:rPr>
      <w:rFonts w:cs="Times New Roman"/>
      <w:sz w:val="16"/>
      <w:szCs w:val="16"/>
    </w:rPr>
  </w:style>
  <w:style w:type="character" w:styleId="Numeropagina">
    <w:name w:val="page number"/>
    <w:basedOn w:val="Carpredefinitoparagrafo"/>
    <w:uiPriority w:val="99"/>
    <w:rsid w:val="001A15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1A15FE"/>
    <w:rPr>
      <w:rFonts w:cs="Times New Roman"/>
      <w:sz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E0BB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E0BB3"/>
    <w:rPr>
      <w:rFonts w:cs="Times New Roman"/>
      <w:b/>
      <w:bCs/>
      <w:sz w:val="20"/>
      <w:szCs w:val="20"/>
    </w:rPr>
  </w:style>
  <w:style w:type="character" w:customStyle="1" w:styleId="CarattereCarattere">
    <w:name w:val="Carattere Carattere"/>
    <w:uiPriority w:val="99"/>
    <w:rsid w:val="001A15FE"/>
    <w:rPr>
      <w:b/>
      <w:sz w:val="24"/>
      <w:lang w:val="it-IT" w:eastAsia="it-IT"/>
    </w:rPr>
  </w:style>
  <w:style w:type="character" w:customStyle="1" w:styleId="CollegamentoInternet">
    <w:name w:val="Collegamento Internet"/>
    <w:basedOn w:val="Carpredefinitoparagrafo"/>
    <w:uiPriority w:val="99"/>
    <w:rsid w:val="001A15FE"/>
    <w:rPr>
      <w:rFonts w:cs="Times New Roman"/>
      <w:color w:val="0000FF"/>
      <w:u w:val="single"/>
      <w:lang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0BB3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A15F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rsid w:val="001A15F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23165"/>
    <w:rPr>
      <w:rFonts w:cs="Times New Roman"/>
    </w:rPr>
  </w:style>
  <w:style w:type="character" w:customStyle="1" w:styleId="Enfasiforte">
    <w:name w:val="Enfasi forte"/>
    <w:basedOn w:val="Carpredefinitoparagrafo"/>
    <w:rsid w:val="002346F7"/>
    <w:rPr>
      <w:b/>
      <w:bCs/>
    </w:rPr>
  </w:style>
  <w:style w:type="character" w:customStyle="1" w:styleId="ListLabel1">
    <w:name w:val="ListLabel 1"/>
    <w:rPr>
      <w:rFonts w:cs="Times New Roman"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effect w:val="none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Times New Roman"/>
      <w:effect w:val="none"/>
    </w:rPr>
  </w:style>
  <w:style w:type="character" w:customStyle="1" w:styleId="ListLabel6">
    <w:name w:val="ListLabel 6"/>
    <w:rPr>
      <w:rFonts w:cs="Times New Roman"/>
      <w:b/>
    </w:rPr>
  </w:style>
  <w:style w:type="character" w:customStyle="1" w:styleId="ListLabel7">
    <w:name w:val="ListLabel 7"/>
    <w:rPr>
      <w:rFonts w:cs="Times New Roman"/>
      <w:b/>
      <w:i w:val="0"/>
      <w:color w:val="00000A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StarSymbol, 'Arial Unicode MS'" w:cs="StarSymbol, 'Arial Unicode MS'"/>
      <w:sz w:val="18"/>
      <w:szCs w:val="18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sz w:val="16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  <w:sz w:val="16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Wingdings"/>
      <w:sz w:val="16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Wingdings"/>
      <w:sz w:val="16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Wingdings"/>
      <w:sz w:val="16"/>
    </w:rPr>
  </w:style>
  <w:style w:type="paragraph" w:styleId="Titolo">
    <w:name w:val="Title"/>
    <w:basedOn w:val="Normale1"/>
    <w:next w:val="Corpodeltesto"/>
    <w:link w:val="TitoloCaratter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1"/>
    <w:rsid w:val="002346F7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40" w:line="240" w:lineRule="atLeast"/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1"/>
    <w:pPr>
      <w:suppressLineNumbers/>
    </w:pPr>
    <w:rPr>
      <w:rFonts w:cs="Lucida Sans"/>
    </w:rPr>
  </w:style>
  <w:style w:type="paragraph" w:styleId="Testofumetto">
    <w:name w:val="Balloon Text"/>
    <w:basedOn w:val="Normale1"/>
    <w:link w:val="TestofumettoCarattere"/>
    <w:uiPriority w:val="99"/>
    <w:semiHidden/>
    <w:rsid w:val="001A15FE"/>
    <w:rPr>
      <w:rFonts w:ascii="Tahoma" w:hAnsi="Tahoma" w:cs="Tahoma"/>
      <w:sz w:val="16"/>
      <w:szCs w:val="16"/>
    </w:rPr>
  </w:style>
  <w:style w:type="paragraph" w:customStyle="1" w:styleId="Titoloprincipale">
    <w:name w:val="Titolo principale"/>
    <w:basedOn w:val="Normale1"/>
    <w:qFormat/>
    <w:rsid w:val="001A15FE"/>
    <w:pPr>
      <w:jc w:val="center"/>
    </w:pPr>
    <w:rPr>
      <w:b/>
    </w:rPr>
  </w:style>
  <w:style w:type="paragraph" w:styleId="Intestazione">
    <w:name w:val="header"/>
    <w:basedOn w:val="Normale1"/>
    <w:link w:val="IntestazioneCarattere"/>
    <w:uiPriority w:val="99"/>
    <w:rsid w:val="001A15FE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link w:val="PidipaginaCarattere"/>
    <w:uiPriority w:val="99"/>
    <w:rsid w:val="001A15F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1"/>
    <w:link w:val="Rientrocorpodeltesto3Carattere"/>
    <w:uiPriority w:val="99"/>
    <w:rsid w:val="001A15FE"/>
    <w:pPr>
      <w:ind w:left="851" w:hanging="284"/>
      <w:jc w:val="both"/>
    </w:pPr>
  </w:style>
  <w:style w:type="paragraph" w:styleId="Rientrocorpodeltesto2">
    <w:name w:val="Body Text Indent 2"/>
    <w:basedOn w:val="Normale1"/>
    <w:link w:val="Rientrocorpodeltesto2Carattere"/>
    <w:uiPriority w:val="99"/>
    <w:rsid w:val="001A15FE"/>
    <w:pPr>
      <w:spacing w:line="240" w:lineRule="atLeast"/>
      <w:ind w:left="284" w:hanging="284"/>
      <w:jc w:val="both"/>
    </w:pPr>
    <w:rPr>
      <w:sz w:val="22"/>
    </w:rPr>
  </w:style>
  <w:style w:type="paragraph" w:customStyle="1" w:styleId="Rientrocorpodeltesto1">
    <w:name w:val="Rientro corpo del testo1"/>
    <w:basedOn w:val="Normale1"/>
    <w:link w:val="RientrocorpodeltestoCarattere"/>
    <w:rsid w:val="002346F7"/>
    <w:pPr>
      <w:tabs>
        <w:tab w:val="left" w:pos="1068"/>
        <w:tab w:val="left" w:pos="9564"/>
      </w:tabs>
      <w:spacing w:line="360" w:lineRule="auto"/>
      <w:ind w:left="1068" w:hanging="426"/>
      <w:jc w:val="both"/>
    </w:pPr>
    <w:rPr>
      <w:i/>
      <w:spacing w:val="-2"/>
      <w:sz w:val="16"/>
    </w:rPr>
  </w:style>
  <w:style w:type="paragraph" w:styleId="Corpodeltesto2">
    <w:name w:val="Body Text 2"/>
    <w:basedOn w:val="Normale1"/>
    <w:link w:val="Corpodeltesto2Carattere"/>
    <w:uiPriority w:val="99"/>
    <w:rsid w:val="001A15FE"/>
    <w:pPr>
      <w:widowControl w:val="0"/>
      <w:jc w:val="both"/>
    </w:pPr>
  </w:style>
  <w:style w:type="paragraph" w:styleId="Corpodeltesto3">
    <w:name w:val="Body Text 3"/>
    <w:basedOn w:val="Normale1"/>
    <w:link w:val="Corpodeltesto3Carattere"/>
    <w:uiPriority w:val="99"/>
    <w:rsid w:val="001A15FE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</w:style>
  <w:style w:type="paragraph" w:styleId="Testodelblocco">
    <w:name w:val="Block Text"/>
    <w:basedOn w:val="Normale1"/>
    <w:uiPriority w:val="99"/>
    <w:rsid w:val="001A15FE"/>
    <w:pPr>
      <w:spacing w:line="280" w:lineRule="atLeast"/>
      <w:ind w:left="426" w:right="-1" w:hanging="426"/>
    </w:pPr>
    <w:rPr>
      <w:sz w:val="22"/>
    </w:rPr>
  </w:style>
  <w:style w:type="paragraph" w:styleId="Testocommento">
    <w:name w:val="annotation text"/>
    <w:basedOn w:val="Normale1"/>
    <w:link w:val="TestocommentoCarattere"/>
    <w:uiPriority w:val="99"/>
    <w:semiHidden/>
    <w:rsid w:val="001A15FE"/>
  </w:style>
  <w:style w:type="paragraph" w:styleId="Soggettocommento">
    <w:name w:val="annotation subject"/>
    <w:basedOn w:val="Testocommento"/>
    <w:link w:val="SoggettocommentoCarattere"/>
    <w:uiPriority w:val="99"/>
    <w:semiHidden/>
    <w:rsid w:val="001A15FE"/>
    <w:rPr>
      <w:b/>
      <w:bCs/>
    </w:rPr>
  </w:style>
  <w:style w:type="paragraph" w:styleId="Indice1">
    <w:name w:val="index 1"/>
    <w:basedOn w:val="Normale1"/>
    <w:autoRedefine/>
    <w:uiPriority w:val="99"/>
    <w:semiHidden/>
    <w:rsid w:val="001A15FE"/>
  </w:style>
  <w:style w:type="paragraph" w:styleId="Testonotadichiusura">
    <w:name w:val="endnote text"/>
    <w:basedOn w:val="Normale1"/>
    <w:link w:val="TestonotadichiusuraCarattere"/>
    <w:uiPriority w:val="99"/>
    <w:semiHidden/>
    <w:rsid w:val="001A15FE"/>
  </w:style>
  <w:style w:type="paragraph" w:styleId="Testonotaapidipagina">
    <w:name w:val="footnote text"/>
    <w:basedOn w:val="Normale1"/>
    <w:link w:val="TestonotaapidipaginaCarattere"/>
    <w:semiHidden/>
    <w:rsid w:val="001A15FE"/>
  </w:style>
  <w:style w:type="paragraph" w:customStyle="1" w:styleId="sche3">
    <w:name w:val="sche_3"/>
    <w:rsid w:val="001A15FE"/>
    <w:pPr>
      <w:widowControl w:val="0"/>
      <w:suppressAutoHyphens/>
      <w:jc w:val="both"/>
      <w:textAlignment w:val="baseline"/>
    </w:pPr>
    <w:rPr>
      <w:rFonts w:ascii="Arial" w:hAnsi="Arial" w:cs="Arial"/>
      <w:color w:val="00000A"/>
      <w:sz w:val="20"/>
      <w:szCs w:val="20"/>
      <w:lang w:val="en-US"/>
    </w:rPr>
  </w:style>
  <w:style w:type="paragraph" w:styleId="Paragrafoelenco">
    <w:name w:val="List Paragraph"/>
    <w:basedOn w:val="Normale1"/>
    <w:uiPriority w:val="99"/>
    <w:qFormat/>
    <w:rsid w:val="003B6F12"/>
    <w:pPr>
      <w:ind w:left="720"/>
      <w:contextualSpacing/>
    </w:pPr>
  </w:style>
  <w:style w:type="paragraph" w:customStyle="1" w:styleId="Contenutocornice">
    <w:name w:val="Contenuto cornice"/>
    <w:basedOn w:val="Normale1"/>
    <w:rsid w:val="00560EE3"/>
    <w:pPr>
      <w:widowControl w:val="0"/>
    </w:pPr>
  </w:style>
  <w:style w:type="paragraph" w:customStyle="1" w:styleId="Notaapidipagina">
    <w:name w:val="Nota a piè di pagina"/>
    <w:basedOn w:val="Normale1"/>
    <w:rsid w:val="002346F7"/>
    <w:pPr>
      <w:widowControl w:val="0"/>
    </w:pPr>
    <w:rPr>
      <w:sz w:val="20"/>
      <w:szCs w:val="20"/>
    </w:rPr>
  </w:style>
  <w:style w:type="paragraph" w:customStyle="1" w:styleId="sche4">
    <w:name w:val="sche_4"/>
    <w:rsid w:val="002346F7"/>
    <w:pPr>
      <w:widowControl w:val="0"/>
      <w:suppressAutoHyphens/>
      <w:jc w:val="both"/>
      <w:textAlignment w:val="baseline"/>
    </w:pPr>
    <w:rPr>
      <w:rFonts w:eastAsia="Arial"/>
      <w:color w:val="00000A"/>
      <w:sz w:val="20"/>
      <w:szCs w:val="20"/>
      <w:lang w:val="en-US" w:eastAsia="zh-CN"/>
    </w:rPr>
  </w:style>
  <w:style w:type="paragraph" w:styleId="NormaleWeb">
    <w:name w:val="Normal (Web)"/>
    <w:basedOn w:val="Normale1"/>
    <w:locked/>
    <w:rsid w:val="002346F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1"/>
    <w:rsid w:val="002346F7"/>
    <w:pPr>
      <w:suppressLineNumbers/>
    </w:pPr>
  </w:style>
  <w:style w:type="paragraph" w:customStyle="1" w:styleId="western">
    <w:name w:val="western"/>
    <w:basedOn w:val="Normale1"/>
    <w:rsid w:val="002346F7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Stile4">
    <w:name w:val="Stile4"/>
    <w:basedOn w:val="Normale1"/>
    <w:rsid w:val="00E30DC1"/>
    <w:pPr>
      <w:jc w:val="both"/>
    </w:pPr>
    <w:rPr>
      <w:rFonts w:ascii="Garamond" w:hAnsi="Garamond" w:cs="Garamond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BF74-8484-4A0C-AB10-7B42CC98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creator>Autorità Portuale;Barbara Lazzarini</dc:creator>
  <cp:lastModifiedBy>Serena Righetti</cp:lastModifiedBy>
  <cp:revision>35</cp:revision>
  <cp:lastPrinted>2022-10-19T06:56:00Z</cp:lastPrinted>
  <dcterms:created xsi:type="dcterms:W3CDTF">2021-04-12T08:27:00Z</dcterms:created>
  <dcterms:modified xsi:type="dcterms:W3CDTF">2024-08-29T10:20:00Z</dcterms:modified>
  <dc:language>it-IT</dc:language>
</cp:coreProperties>
</file>